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7A41BBB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7B347108" w14:textId="63F93D24" w:rsidR="00480855" w:rsidRPr="00480855" w:rsidRDefault="00F809E1" w:rsidP="004808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Załącznik F</w:t>
            </w:r>
            <w:r w:rsidR="000A6351">
              <w:rPr>
                <w:b/>
                <w:sz w:val="24"/>
                <w:szCs w:val="24"/>
              </w:rPr>
              <w:t>(b</w:t>
            </w:r>
            <w:r w:rsidR="001A0571">
              <w:rPr>
                <w:b/>
                <w:sz w:val="24"/>
                <w:szCs w:val="24"/>
              </w:rPr>
              <w:t>-z</w:t>
            </w:r>
            <w:r w:rsidR="000A6351">
              <w:rPr>
                <w:b/>
                <w:sz w:val="24"/>
                <w:szCs w:val="24"/>
              </w:rPr>
              <w:t>)</w:t>
            </w:r>
          </w:p>
          <w:p w14:paraId="2981974B" w14:textId="2D852F68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DC27ED">
              <w:rPr>
                <w:szCs w:val="24"/>
              </w:rPr>
              <w:t xml:space="preserve">do formularza oceny odpowiedniości kandydatów na stanowiska członków organów </w:t>
            </w:r>
            <w:r w:rsidR="000A6351" w:rsidRPr="00DC27ED">
              <w:rPr>
                <w:szCs w:val="24"/>
              </w:rPr>
              <w:t>banków</w:t>
            </w:r>
          </w:p>
          <w:p w14:paraId="3055A360" w14:textId="6FDF009D" w:rsidR="00D23EF4" w:rsidRPr="00A44574" w:rsidRDefault="00F809E1" w:rsidP="001A05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RĘKOJMIA</w:t>
            </w:r>
            <w:r w:rsidR="00475AE4">
              <w:rPr>
                <w:b/>
                <w:sz w:val="28"/>
                <w:szCs w:val="24"/>
              </w:rPr>
              <w:t xml:space="preserve"> – WYPEŁNIANIE OBOWIĄZKÓW</w:t>
            </w:r>
            <w:r w:rsidR="00241591">
              <w:rPr>
                <w:b/>
                <w:sz w:val="28"/>
                <w:szCs w:val="24"/>
              </w:rPr>
              <w:t xml:space="preserve"> CZŁONKA </w:t>
            </w:r>
            <w:r w:rsidR="001A0571">
              <w:rPr>
                <w:b/>
                <w:sz w:val="28"/>
                <w:szCs w:val="24"/>
              </w:rPr>
              <w:t>ZARZĄDU</w:t>
            </w:r>
          </w:p>
        </w:tc>
      </w:tr>
    </w:tbl>
    <w:p w14:paraId="10026836" w14:textId="7516298B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886" w14:paraId="5E67FC55" w14:textId="77777777" w:rsidTr="00AB0886">
        <w:tc>
          <w:tcPr>
            <w:tcW w:w="9062" w:type="dxa"/>
            <w:shd w:val="clear" w:color="auto" w:fill="E7E6E6" w:themeFill="background2"/>
          </w:tcPr>
          <w:p w14:paraId="0170C5FC" w14:textId="6ABBC6D6" w:rsidR="00AB0886" w:rsidRPr="009E4CFF" w:rsidRDefault="00475AE4" w:rsidP="002D6C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SEKCJA 1</w:t>
            </w:r>
            <w:r w:rsidR="00AB0886" w:rsidRPr="009E4CFF">
              <w:rPr>
                <w:b/>
                <w:sz w:val="24"/>
                <w:szCs w:val="24"/>
              </w:rPr>
              <w:t xml:space="preserve"> – </w:t>
            </w:r>
            <w:r w:rsidR="002D6CF1">
              <w:rPr>
                <w:b/>
                <w:sz w:val="24"/>
                <w:szCs w:val="24"/>
              </w:rPr>
              <w:t>Informacje szczegółowe na temat wykonywania obowiązków</w:t>
            </w:r>
          </w:p>
        </w:tc>
      </w:tr>
      <w:tr w:rsidR="00AB0886" w14:paraId="01203941" w14:textId="77777777" w:rsidTr="009E4CFF">
        <w:trPr>
          <w:trHeight w:val="3826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889"/>
              <w:gridCol w:w="5669"/>
              <w:gridCol w:w="1702"/>
            </w:tblGrid>
            <w:tr w:rsidR="00F45B6D" w:rsidRPr="00A44574" w14:paraId="34E8B61A" w14:textId="77777777" w:rsidTr="00D609AC">
              <w:trPr>
                <w:trHeight w:val="20"/>
              </w:trPr>
              <w:tc>
                <w:tcPr>
                  <w:tcW w:w="8836" w:type="dxa"/>
                  <w:gridSpan w:val="4"/>
                  <w:shd w:val="clear" w:color="auto" w:fill="E7E6E6" w:themeFill="background2"/>
                </w:tcPr>
                <w:p w14:paraId="5878FF58" w14:textId="5257DB28" w:rsidR="00F45B6D" w:rsidRPr="009E4CFF" w:rsidRDefault="0062699A" w:rsidP="001A0571">
                  <w:pPr>
                    <w:pStyle w:val="Akapitzlist"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Obowiązki członków </w:t>
                  </w:r>
                  <w:r w:rsidR="001A0571">
                    <w:rPr>
                      <w:b/>
                      <w:sz w:val="24"/>
                      <w:szCs w:val="24"/>
                    </w:rPr>
                    <w:t>zarządów</w:t>
                  </w:r>
                  <w:r>
                    <w:rPr>
                      <w:b/>
                      <w:sz w:val="24"/>
                      <w:szCs w:val="24"/>
                    </w:rPr>
                    <w:t xml:space="preserve"> bankó</w:t>
                  </w:r>
                  <w:r w:rsidR="00241591">
                    <w:rPr>
                      <w:b/>
                      <w:sz w:val="24"/>
                      <w:szCs w:val="24"/>
                    </w:rPr>
                    <w:t>w</w:t>
                  </w:r>
                </w:p>
              </w:tc>
            </w:tr>
            <w:tr w:rsidR="00066024" w:rsidRPr="00A44574" w14:paraId="12F9AFA7" w14:textId="77777777" w:rsidTr="00D609AC">
              <w:trPr>
                <w:trHeight w:val="20"/>
              </w:trPr>
              <w:tc>
                <w:tcPr>
                  <w:tcW w:w="8836" w:type="dxa"/>
                  <w:gridSpan w:val="4"/>
                  <w:shd w:val="clear" w:color="auto" w:fill="E7E6E6" w:themeFill="background2"/>
                </w:tcPr>
                <w:p w14:paraId="48C39A0D" w14:textId="2696AFCF" w:rsidR="00066024" w:rsidRPr="00066024" w:rsidRDefault="00066024" w:rsidP="0006602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066024">
                    <w:t xml:space="preserve">W ramach oceny wywiązywania się z powierzonych obowiązków przez członków zarządu banku należy uwzględnić w szczególności realizację obowiązków wynikających z rozporządzenia Ministra </w:t>
                  </w:r>
                  <w:r>
                    <w:t>Finansów, Funduszy i Polityki Regionalnej z dnia 8 czerwca 2021 r.</w:t>
                  </w:r>
                  <w:r w:rsidRPr="00066024">
                    <w:t xml:space="preserve"> </w:t>
                  </w:r>
                  <w:r w:rsidRPr="00066024">
                    <w:rPr>
                      <w:i/>
                    </w:rPr>
                    <w:t>w sprawie systemu zarządzania ryzykiem i systemu kontroli wewnętrznej, polityki wynagrodzeń oraz szczegółowego sposobu szacowania kapitału wewnętrznego w bankach</w:t>
                  </w:r>
                  <w:r>
                    <w:rPr>
                      <w:i/>
                    </w:rPr>
                    <w:t xml:space="preserve"> </w:t>
                  </w:r>
                  <w:r>
                    <w:t>(Dz.U. z 2021 r., poz. 1045)</w:t>
                  </w:r>
                  <w:r w:rsidRPr="00066024">
                    <w:t>, a także z rekomendacji KNF, w tym</w:t>
                  </w:r>
                  <w:r>
                    <w:t xml:space="preserve"> w szczególności</w:t>
                  </w:r>
                  <w:r w:rsidRPr="00066024">
                    <w:t>:</w:t>
                  </w:r>
                </w:p>
              </w:tc>
            </w:tr>
            <w:tr w:rsidR="0062699A" w:rsidRPr="00A44574" w14:paraId="14CBE72F" w14:textId="43D1B269" w:rsidTr="00E56D4D">
              <w:trPr>
                <w:trHeight w:val="20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6D05DBBE" w14:textId="1E56597B" w:rsidR="0062699A" w:rsidRPr="00E56D4D" w:rsidRDefault="0062699A" w:rsidP="00E56D4D">
                  <w:pPr>
                    <w:pStyle w:val="Akapitzlist"/>
                    <w:numPr>
                      <w:ilvl w:val="0"/>
                      <w:numId w:val="18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427BF414" w14:textId="504587C6" w:rsidR="001A0571" w:rsidRDefault="00066024" w:rsidP="001A0571">
                  <w:pPr>
                    <w:jc w:val="both"/>
                  </w:pPr>
                  <w:r>
                    <w:t>w</w:t>
                  </w:r>
                  <w:r w:rsidR="001A0571">
                    <w:t xml:space="preserve"> zakresie projektowania, wprowadzania oraz zapewnienia działania systemu zarządzania ryzykiem, systemu kontroli wewnętrznej, szacowania kapitału wewnętrznego, utrzymywania poziomu funduszy własnych na poziomie nie niższym niż oszacowany kapitał wewnętrzny i dokonywania przeglądów strategii i procedur szacowania kapitału wewnętrznego, polityki wynagrodzeń oraz procedur anonimowego zgłaszania naruszeń prawa oraz obowiązujących w banku procedur i standardów etycznych:</w:t>
                  </w:r>
                </w:p>
                <w:p w14:paraId="284F68F3" w14:textId="77777777" w:rsidR="001A0571" w:rsidRDefault="001A0571" w:rsidP="001A0571">
                  <w:pPr>
                    <w:pStyle w:val="Akapitzlist"/>
                    <w:numPr>
                      <w:ilvl w:val="0"/>
                      <w:numId w:val="29"/>
                    </w:numPr>
                    <w:jc w:val="both"/>
                  </w:pPr>
                  <w:r>
                    <w:t>zapewnienie struktury organizacyjnej dostosowanej do wielkości i profilu ponoszonego ryzyka i umożliwiającej skuteczne wykonywanie zadań;</w:t>
                  </w:r>
                </w:p>
                <w:p w14:paraId="097A0946" w14:textId="77777777" w:rsidR="001A0571" w:rsidRDefault="001A0571" w:rsidP="001A0571">
                  <w:pPr>
                    <w:pStyle w:val="Akapitzlist"/>
                    <w:numPr>
                      <w:ilvl w:val="0"/>
                      <w:numId w:val="29"/>
                    </w:numPr>
                    <w:jc w:val="both"/>
                  </w:pPr>
                  <w:r>
                    <w:t>opracowanie, przyjęcie i powiązanie strategii zarządzania bankiem z systemem zarządzania ryzykiem, systemem kontroli wewnętrznej, polityką wynagrodzeń oraz procesem szacowania kapitału wewnętrznego i utrzymywania poziomu funduszy własnych na poziomie nie niższym niż oszacowany kapitał wewnętrzny banku;</w:t>
                  </w:r>
                </w:p>
                <w:p w14:paraId="5EB6411B" w14:textId="6B44AFD2" w:rsidR="0062699A" w:rsidRPr="001A0571" w:rsidRDefault="001A0571" w:rsidP="001A0571">
                  <w:pPr>
                    <w:pStyle w:val="Akapitzlist"/>
                    <w:numPr>
                      <w:ilvl w:val="0"/>
                      <w:numId w:val="29"/>
                    </w:numPr>
                    <w:jc w:val="both"/>
                  </w:pPr>
                  <w:r>
                    <w:t>opracowanie, przyjęcie i wdrożenie strategii i polityk oraz zapewnienie wdrożenia planów, zgodnie z przyjętymi zasadami legislacji wewnętrznej, oraz monitorowanie ich przestrzegania; zapewnienie przejrzystości działań banku oraz przyjęcie i wprowadzenie zasad polityki informacyjnej; ustanowienie odpowiednich zasad raportowania, w tym zasad raportowania zarządu do rady nadzorczej; wprowadzanie niezbędnych korekt i udoskonaleń systemu zarządzania w przypadku zmiany wielkości i profilu ryzyka w działalności banku oraz czynników otoczenia gospodarczego lub wykrycia nieprawidłowości w funkcjonowaniu systemu zarządzania;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783F3448" w14:textId="2C81777C" w:rsidR="0062699A" w:rsidRPr="0062699A" w:rsidRDefault="004064A0" w:rsidP="0062699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51854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699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2699A">
                    <w:rPr>
                      <w:sz w:val="24"/>
                      <w:szCs w:val="24"/>
                    </w:rPr>
                    <w:t xml:space="preserve"> </w:t>
                  </w:r>
                  <w:r w:rsidR="0062699A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10EC9648" w14:textId="2475A3EF" w:rsidR="0062699A" w:rsidRPr="0062699A" w:rsidRDefault="004064A0" w:rsidP="0062699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4001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699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2699A">
                    <w:rPr>
                      <w:sz w:val="24"/>
                      <w:szCs w:val="24"/>
                    </w:rPr>
                    <w:t xml:space="preserve"> </w:t>
                  </w:r>
                  <w:r w:rsidR="0062699A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62699A" w:rsidRPr="00A44574" w14:paraId="2E1DA269" w14:textId="77777777" w:rsidTr="00E56D4D">
              <w:trPr>
                <w:trHeight w:val="20"/>
              </w:trPr>
              <w:tc>
                <w:tcPr>
                  <w:tcW w:w="576" w:type="dxa"/>
                  <w:vMerge/>
                  <w:shd w:val="clear" w:color="auto" w:fill="E7E6E6" w:themeFill="background2"/>
                </w:tcPr>
                <w:p w14:paraId="1D616D82" w14:textId="4371292E" w:rsidR="0062699A" w:rsidRDefault="0062699A" w:rsidP="0062699A"/>
              </w:tc>
              <w:tc>
                <w:tcPr>
                  <w:tcW w:w="889" w:type="dxa"/>
                  <w:shd w:val="clear" w:color="auto" w:fill="E7E6E6" w:themeFill="background2"/>
                </w:tcPr>
                <w:p w14:paraId="3DB2D078" w14:textId="1FB78ECA" w:rsidR="0062699A" w:rsidRPr="0062699A" w:rsidRDefault="0062699A" w:rsidP="0062699A">
                  <w:pPr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</w:tcPr>
                <w:p w14:paraId="0FF466EF" w14:textId="0C16601C" w:rsidR="0062699A" w:rsidRPr="0062699A" w:rsidRDefault="0062699A" w:rsidP="0062699A">
                  <w:pPr>
                    <w:rPr>
                      <w:b/>
                    </w:rPr>
                  </w:pPr>
                </w:p>
              </w:tc>
            </w:tr>
            <w:tr w:rsidR="00241591" w:rsidRPr="00A44574" w14:paraId="4E559E8D" w14:textId="77777777" w:rsidTr="00E56D4D">
              <w:trPr>
                <w:trHeight w:val="2310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2232ACE0" w14:textId="224EBF84" w:rsidR="00241591" w:rsidRPr="00E56D4D" w:rsidRDefault="00241591" w:rsidP="00E56D4D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4C6DD17F" w14:textId="6A8B00E5" w:rsidR="001A0571" w:rsidRDefault="00066024" w:rsidP="001A0571">
                  <w:pPr>
                    <w:jc w:val="both"/>
                  </w:pPr>
                  <w:r>
                    <w:t>w</w:t>
                  </w:r>
                  <w:r w:rsidR="001A0571">
                    <w:t xml:space="preserve"> zakresie projektowania, wprowadzania oraz zapewnienia działania systemu zarządzania ryzykiem: określanie bieżącej i przyszłej gotowości banku do podejmowania ryzyka;</w:t>
                  </w:r>
                </w:p>
                <w:p w14:paraId="2C0AD6EB" w14:textId="77777777" w:rsidR="001A0571" w:rsidRDefault="001A0571" w:rsidP="001A0571">
                  <w:pPr>
                    <w:pStyle w:val="Akapitzlist"/>
                    <w:numPr>
                      <w:ilvl w:val="0"/>
                      <w:numId w:val="30"/>
                    </w:numPr>
                    <w:jc w:val="both"/>
                  </w:pPr>
                  <w:r>
                    <w:t>opracowywanie i przyjmowanie strategii zarządzania ryzykiem;</w:t>
                  </w:r>
                </w:p>
                <w:p w14:paraId="36E3D0C9" w14:textId="77777777" w:rsidR="001A0571" w:rsidRDefault="001A0571" w:rsidP="001A0571">
                  <w:pPr>
                    <w:pStyle w:val="Akapitzlist"/>
                    <w:numPr>
                      <w:ilvl w:val="0"/>
                      <w:numId w:val="30"/>
                    </w:numPr>
                    <w:jc w:val="both"/>
                  </w:pPr>
                  <w:r>
                    <w:t>wprowadzanie podziału realizowanych w banku zadań, zapewniającego niezależność zarządzania ryzykiem na pierwszym poziomie, od zarządzania ryzykiem na drugim poziomie;</w:t>
                  </w:r>
                </w:p>
                <w:p w14:paraId="5CCD7992" w14:textId="77777777" w:rsidR="001A0571" w:rsidRDefault="001A0571" w:rsidP="001A0571">
                  <w:pPr>
                    <w:pStyle w:val="Akapitzlist"/>
                    <w:numPr>
                      <w:ilvl w:val="0"/>
                      <w:numId w:val="30"/>
                    </w:numPr>
                    <w:jc w:val="both"/>
                  </w:pPr>
                  <w:r>
                    <w:t>nadzorowanie zarządzania ryzykiem na pierwszym i drugim poziomie;</w:t>
                  </w:r>
                </w:p>
                <w:p w14:paraId="51BDCBFA" w14:textId="77777777" w:rsidR="001A0571" w:rsidRDefault="001A0571" w:rsidP="001A0571">
                  <w:pPr>
                    <w:pStyle w:val="Akapitzlist"/>
                    <w:numPr>
                      <w:ilvl w:val="0"/>
                      <w:numId w:val="30"/>
                    </w:numPr>
                    <w:jc w:val="both"/>
                  </w:pPr>
                  <w:r>
                    <w:t>opracowywanie i akceptowanie polityk oraz zapewnianie wdrożenia procedur, na podstawie których funkcjonować ma w banku system zarządzania ryzykiem, zgodnie z przyjętymi zasadami legislacji wewnętrznej, oraz monitorowanie ich przestrzegania;</w:t>
                  </w:r>
                </w:p>
                <w:p w14:paraId="79470BE9" w14:textId="77777777" w:rsidR="001A0571" w:rsidRDefault="001A0571" w:rsidP="001A0571">
                  <w:pPr>
                    <w:pStyle w:val="Akapitzlist"/>
                    <w:numPr>
                      <w:ilvl w:val="0"/>
                      <w:numId w:val="30"/>
                    </w:numPr>
                    <w:jc w:val="both"/>
                  </w:pPr>
                  <w:r>
                    <w:t>nadzorowanie wielkości i profilu ryzyka w banku, w tym ryzyka związanego z działalnością podmiotów zależnych, z uwzględnieniem funkcjonowania banku w holdingach, o których mowa w art. 141f ust. 1 UPB;</w:t>
                  </w:r>
                </w:p>
                <w:p w14:paraId="0D1EE3D8" w14:textId="5AF41CC4" w:rsidR="00241591" w:rsidRPr="00241591" w:rsidRDefault="001A0571" w:rsidP="001A0571">
                  <w:pPr>
                    <w:pStyle w:val="Akapitzlist"/>
                    <w:numPr>
                      <w:ilvl w:val="0"/>
                      <w:numId w:val="30"/>
                    </w:numPr>
                    <w:jc w:val="both"/>
                  </w:pPr>
                  <w:r>
                    <w:t>ustanawianie zasad raportowania przez jednostki organizacyjne, komórki organizacyjne oraz stanowiska organizacyjne banku o rodzajach i wielkości ryzyka w działalności, w sposób umożliwiający monitorowanie poziomu ryzyka w banku;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7517A078" w14:textId="77777777" w:rsidR="00241591" w:rsidRPr="0062699A" w:rsidRDefault="004064A0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67905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267414FB" w14:textId="6D9EAB76" w:rsidR="00241591" w:rsidRPr="0062699A" w:rsidRDefault="004064A0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48955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241591" w:rsidRPr="00A44574" w14:paraId="31672211" w14:textId="77777777" w:rsidTr="00E56D4D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0C115A2C" w14:textId="77777777" w:rsidR="00241591" w:rsidRDefault="00241591" w:rsidP="002415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10BCF84B" w14:textId="217055F7" w:rsidR="00241591" w:rsidRDefault="00241591" w:rsidP="00241591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3C8E1277" w14:textId="69920255" w:rsidR="00241591" w:rsidRDefault="00241591" w:rsidP="002415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41591" w:rsidRPr="0062699A" w14:paraId="6F4FE050" w14:textId="77777777" w:rsidTr="001A0571">
              <w:trPr>
                <w:trHeight w:val="642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47E4EBB4" w14:textId="200D47E2" w:rsidR="00241591" w:rsidRPr="00E56D4D" w:rsidRDefault="00241591" w:rsidP="00E56D4D">
                  <w:pPr>
                    <w:pStyle w:val="Akapitzlist"/>
                    <w:numPr>
                      <w:ilvl w:val="0"/>
                      <w:numId w:val="18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4919618D" w14:textId="7C7E8488" w:rsidR="00241591" w:rsidRPr="00241591" w:rsidRDefault="00066024" w:rsidP="001A0571">
                  <w:pPr>
                    <w:jc w:val="both"/>
                  </w:pPr>
                  <w:r>
                    <w:t>z</w:t>
                  </w:r>
                  <w:r w:rsidR="001A0571">
                    <w:t>atwierdzanie, z uwzględnieniem wielkości i profilu ryzyka występującego w banku, przyjętych rodzajów limitów stosowanych w ramach kontroli ryzyka oraz ich wysokości;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6DC04279" w14:textId="77777777" w:rsidR="00241591" w:rsidRPr="0062699A" w:rsidRDefault="004064A0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35029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03C31D83" w14:textId="77777777" w:rsidR="00241591" w:rsidRPr="0062699A" w:rsidRDefault="004064A0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03661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241591" w14:paraId="4C5AAEA5" w14:textId="77777777" w:rsidTr="00E56D4D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665D3FF7" w14:textId="77777777" w:rsidR="00241591" w:rsidRDefault="00241591" w:rsidP="002415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226BDDF2" w14:textId="77777777" w:rsidR="00241591" w:rsidRDefault="00241591" w:rsidP="00241591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1F2E4004" w14:textId="77777777" w:rsidR="00241591" w:rsidRDefault="00241591" w:rsidP="002415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41591" w:rsidRPr="0062699A" w14:paraId="3E1A39F7" w14:textId="77777777" w:rsidTr="001A0571">
              <w:trPr>
                <w:trHeight w:val="374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1FEF2B9A" w14:textId="7E7975A7" w:rsidR="00241591" w:rsidRPr="00E56D4D" w:rsidRDefault="00241591" w:rsidP="00E56D4D">
                  <w:pPr>
                    <w:pStyle w:val="Akapitzlist"/>
                    <w:numPr>
                      <w:ilvl w:val="0"/>
                      <w:numId w:val="18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443C83EA" w14:textId="140E6561" w:rsidR="00241591" w:rsidRPr="00241591" w:rsidRDefault="00066024" w:rsidP="001A0571">
                  <w:pPr>
                    <w:jc w:val="both"/>
                  </w:pPr>
                  <w:r>
                    <w:t>z</w:t>
                  </w:r>
                  <w:r w:rsidR="001A0571">
                    <w:t>atwierdzanie nowych produktów przed wprowadzeniem ich do oferty banku;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609D70E9" w14:textId="77777777" w:rsidR="00241591" w:rsidRPr="0062699A" w:rsidRDefault="004064A0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492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130190BC" w14:textId="77777777" w:rsidR="00241591" w:rsidRPr="0062699A" w:rsidRDefault="004064A0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52931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241591" w14:paraId="4E206387" w14:textId="77777777" w:rsidTr="00E56D4D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0F2E7F04" w14:textId="77777777" w:rsidR="00241591" w:rsidRDefault="00241591" w:rsidP="002415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05CB7E78" w14:textId="77777777" w:rsidR="00241591" w:rsidRDefault="00241591" w:rsidP="00241591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6ABF760B" w14:textId="77777777" w:rsidR="00241591" w:rsidRDefault="00241591" w:rsidP="002415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41591" w:rsidRPr="0062699A" w14:paraId="4A92FDDA" w14:textId="77777777" w:rsidTr="00E56D4D">
              <w:trPr>
                <w:trHeight w:val="644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5130F61D" w14:textId="2835F646" w:rsidR="00241591" w:rsidRPr="00E56D4D" w:rsidRDefault="00241591" w:rsidP="00E56D4D">
                  <w:pPr>
                    <w:pStyle w:val="Akapitzlist"/>
                    <w:numPr>
                      <w:ilvl w:val="0"/>
                      <w:numId w:val="18"/>
                    </w:num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3EE5193B" w14:textId="69E03D03" w:rsidR="001A0571" w:rsidRDefault="00066024" w:rsidP="001A0571">
                  <w:pPr>
                    <w:jc w:val="both"/>
                  </w:pPr>
                  <w:r>
                    <w:t>w</w:t>
                  </w:r>
                  <w:r w:rsidR="001A0571">
                    <w:t xml:space="preserve"> zakresie systemu kontroli wewnętrznej:</w:t>
                  </w:r>
                </w:p>
                <w:p w14:paraId="7605CED0" w14:textId="77777777" w:rsidR="001A0571" w:rsidRDefault="001A0571" w:rsidP="001A0571">
                  <w:pPr>
                    <w:pStyle w:val="Akapitzlist"/>
                    <w:numPr>
                      <w:ilvl w:val="0"/>
                      <w:numId w:val="31"/>
                    </w:numPr>
                    <w:jc w:val="both"/>
                  </w:pPr>
                  <w:r>
                    <w:t>zaprojektowanie, wprowadzenie oraz zapewnianie we wszystkich jednostkach organizacyjnych, komórkach organizacyjnych i stanowiskach organizacyjnych banku funkcjonowania adekwatnego i skutecznego systemu kontroli wewnętrznej, który obejmuje funkcję kontroli, komórkę do spraw zgodności i komórkę audytu wewnętrznego oraz zapewnia niezależność tych funkcji;</w:t>
                  </w:r>
                </w:p>
                <w:p w14:paraId="57DBEE5B" w14:textId="77777777" w:rsidR="001A0571" w:rsidRDefault="001A0571" w:rsidP="001A0571">
                  <w:pPr>
                    <w:pStyle w:val="Akapitzlist"/>
                    <w:numPr>
                      <w:ilvl w:val="0"/>
                      <w:numId w:val="31"/>
                    </w:numPr>
                    <w:jc w:val="both"/>
                  </w:pPr>
                  <w:r>
                    <w:t>zapewnienie funkcjonowania systemu kontroli wewnętrznej w podmiotach zależnych;</w:t>
                  </w:r>
                </w:p>
                <w:p w14:paraId="2B540F5F" w14:textId="77777777" w:rsidR="001A0571" w:rsidRDefault="001A0571" w:rsidP="001A0571">
                  <w:pPr>
                    <w:pStyle w:val="Akapitzlist"/>
                    <w:numPr>
                      <w:ilvl w:val="0"/>
                      <w:numId w:val="31"/>
                    </w:numPr>
                    <w:jc w:val="both"/>
                  </w:pPr>
                  <w:r>
                    <w:t>podejmowanie działań mających na celu zapewnienie ciągłości działania systemu kontroli wewnętrznej, w tym właściwej współpracy wszystkich pracowników banku w ramach funkcji kontroli oraz współpracy z komórką do spraw zgodności, komórką audytu wewnętrznego, a także zapewnienie dostępu pracownikom tych komórek do niezbędnych dokumentów źródłowych, w tym zawierających informacje prawnie chronione w związku z wykonywaniem przez nich obowiązków służbowych;</w:t>
                  </w:r>
                </w:p>
                <w:p w14:paraId="52DE8215" w14:textId="77777777" w:rsidR="001A0571" w:rsidRDefault="001A0571" w:rsidP="001A0571">
                  <w:pPr>
                    <w:pStyle w:val="Akapitzlist"/>
                    <w:numPr>
                      <w:ilvl w:val="0"/>
                      <w:numId w:val="31"/>
                    </w:numPr>
                    <w:jc w:val="both"/>
                  </w:pPr>
                  <w:r>
                    <w:lastRenderedPageBreak/>
                    <w:t>podejmowanie odpowiednich działań w celu usunięcia nieprawidłowości stwierdzonych przez system kontroli wewnętrznej;</w:t>
                  </w:r>
                </w:p>
                <w:p w14:paraId="3D313FEA" w14:textId="77777777" w:rsidR="001A0571" w:rsidRDefault="001A0571" w:rsidP="001A0571">
                  <w:pPr>
                    <w:pStyle w:val="Akapitzlist"/>
                    <w:numPr>
                      <w:ilvl w:val="0"/>
                      <w:numId w:val="31"/>
                    </w:numPr>
                    <w:jc w:val="both"/>
                  </w:pPr>
                  <w:r>
                    <w:t>zapewnienie przez system kontroli wewnętrznej przestrzegania przepisów prawa, regulacji wewnętrznych oraz standardów rynkowych, w tym w szczególności:</w:t>
                  </w:r>
                </w:p>
                <w:p w14:paraId="256DB725" w14:textId="77777777" w:rsidR="001A0571" w:rsidRDefault="001A0571" w:rsidP="001A0571">
                  <w:pPr>
                    <w:pStyle w:val="Akapitzlist"/>
                    <w:numPr>
                      <w:ilvl w:val="1"/>
                      <w:numId w:val="31"/>
                    </w:numPr>
                    <w:jc w:val="both"/>
                  </w:pPr>
                  <w:r>
                    <w:t>efektywne zarządzanie w banku ryzykiem braku zgodności, rozumianym jako ryzyko skutków nieprzestrzegania przepisów prawa, regulacji wewnętrznych oraz standardów rynkowych;</w:t>
                  </w:r>
                </w:p>
                <w:p w14:paraId="7D17D6B0" w14:textId="77777777" w:rsidR="001A0571" w:rsidRDefault="001A0571" w:rsidP="001A0571">
                  <w:pPr>
                    <w:pStyle w:val="Akapitzlist"/>
                    <w:numPr>
                      <w:ilvl w:val="1"/>
                      <w:numId w:val="31"/>
                    </w:numPr>
                    <w:jc w:val="both"/>
                  </w:pPr>
                  <w:r>
                    <w:t>opracowanie polityki zgodności, zapewnienie jej przestrzegania i składanie radzie nadzorczej lub komitetowi audytu, jeżeli został powołany, raportów w sprawie zarządzania w banku ryzykiem braku zgodności;</w:t>
                  </w:r>
                </w:p>
                <w:p w14:paraId="16940C62" w14:textId="77777777" w:rsidR="001A0571" w:rsidRDefault="001A0571" w:rsidP="001A0571">
                  <w:pPr>
                    <w:pStyle w:val="Akapitzlist"/>
                    <w:numPr>
                      <w:ilvl w:val="1"/>
                      <w:numId w:val="31"/>
                    </w:numPr>
                    <w:jc w:val="both"/>
                  </w:pPr>
                  <w:r>
                    <w:t>podejmowanie odpowiednich działań w celu usunięcia wykrytych nieprawidłowości w stosowaniu polityki zgodności;</w:t>
                  </w:r>
                </w:p>
                <w:p w14:paraId="1351550D" w14:textId="6093D267" w:rsidR="00241591" w:rsidRPr="00241591" w:rsidRDefault="001A0571" w:rsidP="00241591">
                  <w:pPr>
                    <w:pStyle w:val="Akapitzlist"/>
                    <w:numPr>
                      <w:ilvl w:val="0"/>
                      <w:numId w:val="31"/>
                    </w:numPr>
                    <w:jc w:val="both"/>
                  </w:pPr>
                  <w:r>
                    <w:t>okresowe przekazywanie radzie nadzorczej informacji o realizacji ww. zadań;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32387FB5" w14:textId="77777777" w:rsidR="00241591" w:rsidRPr="0062699A" w:rsidRDefault="004064A0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8888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3C880E22" w14:textId="77777777" w:rsidR="00241591" w:rsidRPr="0062699A" w:rsidRDefault="004064A0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89829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241591" w14:paraId="4E959CC8" w14:textId="77777777" w:rsidTr="00E56D4D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04216353" w14:textId="77777777" w:rsidR="00241591" w:rsidRDefault="00241591" w:rsidP="002415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0FEC1370" w14:textId="77777777" w:rsidR="00241591" w:rsidRDefault="00241591" w:rsidP="00241591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6EB27093" w14:textId="77777777" w:rsidR="00241591" w:rsidRDefault="00241591" w:rsidP="002415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41591" w:rsidRPr="0062699A" w14:paraId="6C28852B" w14:textId="77777777" w:rsidTr="00E56D4D">
              <w:trPr>
                <w:trHeight w:val="644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73BC8D69" w14:textId="786C9EA8" w:rsidR="00241591" w:rsidRPr="00E56D4D" w:rsidRDefault="00241591" w:rsidP="00E56D4D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369D4B7D" w14:textId="011C8865" w:rsidR="001A0571" w:rsidRDefault="00066024" w:rsidP="001A0571">
                  <w:pPr>
                    <w:jc w:val="both"/>
                  </w:pPr>
                  <w:r>
                    <w:t>w</w:t>
                  </w:r>
                  <w:r w:rsidR="001A0571">
                    <w:t xml:space="preserve"> zakresie anonimowego zgłaszania naruszeń prawa oraz obowiązujących w banku procedur i standardów etycznych:</w:t>
                  </w:r>
                </w:p>
                <w:p w14:paraId="4B65CF01" w14:textId="77777777" w:rsidR="001A0571" w:rsidRDefault="001A0571" w:rsidP="001A0571">
                  <w:pPr>
                    <w:pStyle w:val="Akapitzlist"/>
                    <w:numPr>
                      <w:ilvl w:val="0"/>
                      <w:numId w:val="33"/>
                    </w:numPr>
                    <w:jc w:val="both"/>
                  </w:pPr>
                  <w:r>
                    <w:t>ustalenie wewnętrznego podziału kompetencji wskazującego członka zarządu, do którego są zgłaszane naruszenia oraz odpowiedzialnego za bieżące funkcjonowanie procedur anonimowego zgłaszania naruszeń;</w:t>
                  </w:r>
                </w:p>
                <w:p w14:paraId="1BC335FA" w14:textId="77777777" w:rsidR="001A0571" w:rsidRDefault="001A0571" w:rsidP="001A0571">
                  <w:pPr>
                    <w:pStyle w:val="Akapitzlist"/>
                    <w:numPr>
                      <w:ilvl w:val="0"/>
                      <w:numId w:val="33"/>
                    </w:numPr>
                    <w:jc w:val="both"/>
                  </w:pPr>
                  <w:r>
                    <w:t>wyznaczenie pracowników, jednostek organizacyjnych lub komórek organizacyjnych odpowiedzialnych za podejmowanie i koordynowanie weryfikacji zgłoszenia naruszenia oraz podejmowanie działań następczych;</w:t>
                  </w:r>
                </w:p>
                <w:p w14:paraId="2AFA7EC7" w14:textId="77777777" w:rsidR="001A0571" w:rsidRDefault="001A0571" w:rsidP="001A0571">
                  <w:pPr>
                    <w:pStyle w:val="Akapitzlist"/>
                    <w:numPr>
                      <w:ilvl w:val="0"/>
                      <w:numId w:val="33"/>
                    </w:numPr>
                    <w:jc w:val="both"/>
                  </w:pPr>
                  <w:r>
                    <w:t>zapewnienie adekwatności i skuteczności procedur anonimowego zgłaszania przez pracowników naruszeń;</w:t>
                  </w:r>
                </w:p>
                <w:p w14:paraId="2389EE4E" w14:textId="4934472B" w:rsidR="00241591" w:rsidRPr="00241591" w:rsidRDefault="001A0571" w:rsidP="001A0571">
                  <w:pPr>
                    <w:pStyle w:val="Akapitzlist"/>
                    <w:numPr>
                      <w:ilvl w:val="0"/>
                      <w:numId w:val="33"/>
                    </w:numPr>
                    <w:jc w:val="both"/>
                  </w:pPr>
                  <w:r>
                    <w:t>okresowe, nie rzadziej niż raz na pół roku, przekazywanie radzie nadzorczej informacji o otrzymanych istotnych zgłoszeniach naruszeń;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7D87F53B" w14:textId="77777777" w:rsidR="00241591" w:rsidRPr="0062699A" w:rsidRDefault="004064A0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730532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63D7E2E6" w14:textId="77777777" w:rsidR="00241591" w:rsidRPr="0062699A" w:rsidRDefault="004064A0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866660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241591" w14:paraId="0C57D9E0" w14:textId="77777777" w:rsidTr="00E56D4D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6989A6DF" w14:textId="77777777" w:rsidR="00241591" w:rsidRDefault="00241591" w:rsidP="002415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60D3BAB6" w14:textId="77777777" w:rsidR="00241591" w:rsidRDefault="00241591" w:rsidP="00241591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35AEC211" w14:textId="77777777" w:rsidR="00241591" w:rsidRDefault="00241591" w:rsidP="002415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41591" w:rsidRPr="0062699A" w14:paraId="45998B5A" w14:textId="77777777" w:rsidTr="00E56D4D">
              <w:trPr>
                <w:trHeight w:val="644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5FD2B247" w14:textId="26E9A8D9" w:rsidR="00241591" w:rsidRPr="00E56D4D" w:rsidRDefault="00241591" w:rsidP="00E56D4D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2BC5776B" w14:textId="18B1A760" w:rsidR="001A0571" w:rsidRDefault="00066024" w:rsidP="001A0571">
                  <w:pPr>
                    <w:jc w:val="both"/>
                  </w:pPr>
                  <w:r>
                    <w:t>w</w:t>
                  </w:r>
                  <w:r w:rsidR="001A0571">
                    <w:t xml:space="preserve"> zakresie zarządzania obszarami technologii informatycznej i bezpieczeństwa środowiska teleinformatycznego, zapewniając poprawne i efektywne funkcjonowanie obszarami:</w:t>
                  </w:r>
                </w:p>
                <w:p w14:paraId="51831EC2" w14:textId="77777777" w:rsidR="001A0571" w:rsidRDefault="001A0571" w:rsidP="001A0571">
                  <w:pPr>
                    <w:pStyle w:val="Akapitzlist"/>
                    <w:numPr>
                      <w:ilvl w:val="0"/>
                      <w:numId w:val="35"/>
                    </w:numPr>
                    <w:jc w:val="both"/>
                  </w:pPr>
                  <w:r>
                    <w:t>opracowanie i przyjęcie strategii, zapewnienie adekwatności struktury organizacyjnej oraz zasobów kadrowych;</w:t>
                  </w:r>
                </w:p>
                <w:p w14:paraId="310E3CEA" w14:textId="2499984A" w:rsidR="00241591" w:rsidRPr="00241591" w:rsidRDefault="001A0571" w:rsidP="001A0571">
                  <w:pPr>
                    <w:pStyle w:val="Akapitzlist"/>
                    <w:numPr>
                      <w:ilvl w:val="0"/>
                      <w:numId w:val="35"/>
                    </w:numPr>
                    <w:jc w:val="both"/>
                  </w:pPr>
                  <w:r>
                    <w:t>wyznaczenie lub wskazanie komitetu właściwego do spraw obszaru bezpieczeństwa środowiska teleinformatycznego, kierowanego przez posiadającego odpowiednie kwalifikacje członka zarządu lub wyznaczonego przez zarząd banku pełnomocnika w celu zapewnienia odpowiedniego zarządzania jakością danych o kluczowym znaczeniu dla banku;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0A439ECC" w14:textId="77777777" w:rsidR="00241591" w:rsidRPr="0062699A" w:rsidRDefault="004064A0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3090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5F2FBE04" w14:textId="77777777" w:rsidR="00241591" w:rsidRPr="0062699A" w:rsidRDefault="004064A0" w:rsidP="002415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60767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4159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41591">
                    <w:rPr>
                      <w:sz w:val="24"/>
                      <w:szCs w:val="24"/>
                    </w:rPr>
                    <w:t xml:space="preserve"> </w:t>
                  </w:r>
                  <w:r w:rsidR="00241591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241591" w14:paraId="46B841DB" w14:textId="77777777" w:rsidTr="00E56D4D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2E83C4C0" w14:textId="77777777" w:rsidR="00241591" w:rsidRDefault="00241591" w:rsidP="002415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101FD76A" w14:textId="77777777" w:rsidR="00241591" w:rsidRDefault="00241591" w:rsidP="00241591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3097B2EF" w14:textId="77777777" w:rsidR="00241591" w:rsidRDefault="00241591" w:rsidP="002415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6D4D" w:rsidRPr="0062699A" w14:paraId="1758692E" w14:textId="77777777" w:rsidTr="00E56D4D">
              <w:trPr>
                <w:trHeight w:val="644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317C1906" w14:textId="77777777" w:rsidR="00E56D4D" w:rsidRPr="00E56D4D" w:rsidRDefault="00E56D4D" w:rsidP="00E56D4D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00D8C98F" w14:textId="2EEA8D6B" w:rsidR="00E56D4D" w:rsidRPr="00241591" w:rsidRDefault="00066024" w:rsidP="001A0571">
                  <w:pPr>
                    <w:jc w:val="both"/>
                  </w:pPr>
                  <w:r>
                    <w:t>w</w:t>
                  </w:r>
                  <w:r w:rsidR="001A0571">
                    <w:t xml:space="preserve"> zakresie zarządzania ryzykiem modeli w bankach, zapewniając poprawną i efektywną realizację poprzez wdrożenie i prawidłowe funkcjonowanie procesu zarządzania ryzykiem modeli;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17B92647" w14:textId="77777777" w:rsidR="00E56D4D" w:rsidRPr="0062699A" w:rsidRDefault="004064A0" w:rsidP="00E56D4D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0233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6D4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56D4D">
                    <w:rPr>
                      <w:sz w:val="24"/>
                      <w:szCs w:val="24"/>
                    </w:rPr>
                    <w:t xml:space="preserve"> </w:t>
                  </w:r>
                  <w:r w:rsidR="00E56D4D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34FE3588" w14:textId="77777777" w:rsidR="00E56D4D" w:rsidRPr="0062699A" w:rsidRDefault="004064A0" w:rsidP="00E56D4D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81323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6D4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56D4D">
                    <w:rPr>
                      <w:sz w:val="24"/>
                      <w:szCs w:val="24"/>
                    </w:rPr>
                    <w:t xml:space="preserve"> </w:t>
                  </w:r>
                  <w:r w:rsidR="00E56D4D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E56D4D" w14:paraId="420A6BA8" w14:textId="77777777" w:rsidTr="00E56D4D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35C7BF79" w14:textId="77777777" w:rsidR="00E56D4D" w:rsidRDefault="00E56D4D" w:rsidP="00E56D4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4B09582A" w14:textId="77777777" w:rsidR="00E56D4D" w:rsidRDefault="00E56D4D" w:rsidP="00E56D4D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40882544" w14:textId="77777777" w:rsidR="00E56D4D" w:rsidRDefault="00E56D4D" w:rsidP="00E56D4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6D4D" w:rsidRPr="0062699A" w14:paraId="7827A935" w14:textId="77777777" w:rsidTr="00B130ED">
              <w:trPr>
                <w:trHeight w:val="644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61EA4C39" w14:textId="77777777" w:rsidR="00E56D4D" w:rsidRPr="00E56D4D" w:rsidRDefault="00E56D4D" w:rsidP="00E56D4D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1D414F5B" w14:textId="188D0988" w:rsidR="001A0571" w:rsidRDefault="00066024" w:rsidP="001A0571">
                  <w:pPr>
                    <w:jc w:val="both"/>
                  </w:pPr>
                  <w:r>
                    <w:t>w</w:t>
                  </w:r>
                  <w:r w:rsidR="001A0571">
                    <w:t xml:space="preserve"> zakresie zarządzania ryzykiem płynności:</w:t>
                  </w:r>
                </w:p>
                <w:p w14:paraId="6D8E2734" w14:textId="77777777" w:rsidR="001A0571" w:rsidRDefault="001A0571" w:rsidP="001A0571">
                  <w:pPr>
                    <w:pStyle w:val="Akapitzlist"/>
                    <w:numPr>
                      <w:ilvl w:val="0"/>
                      <w:numId w:val="37"/>
                    </w:numPr>
                    <w:jc w:val="both"/>
                  </w:pPr>
                  <w:r>
                    <w:t>opracowanie, przyjęcie i wdrożenie polityki zarządzania ryzykiem płynności, która powinna wynikać z zatwierdzonej przez radę nadzorczą strategii zarządzania ryzykiem;</w:t>
                  </w:r>
                </w:p>
                <w:p w14:paraId="0182EB3C" w14:textId="77777777" w:rsidR="001A0571" w:rsidRDefault="001A0571" w:rsidP="001A0571">
                  <w:pPr>
                    <w:pStyle w:val="Akapitzlist"/>
                    <w:numPr>
                      <w:ilvl w:val="0"/>
                      <w:numId w:val="37"/>
                    </w:numPr>
                    <w:jc w:val="both"/>
                  </w:pPr>
                  <w:r>
                    <w:t>okresowe, nie rzadziej niż raz w roku, przekazywanie radzie nadzorczej informacji o ocenie przyjętej polityki;</w:t>
                  </w:r>
                </w:p>
                <w:p w14:paraId="747B1659" w14:textId="6B6E461A" w:rsidR="00E56D4D" w:rsidRPr="00241591" w:rsidRDefault="001A0571" w:rsidP="001A0571">
                  <w:pPr>
                    <w:pStyle w:val="Akapitzlist"/>
                    <w:numPr>
                      <w:ilvl w:val="0"/>
                      <w:numId w:val="37"/>
                    </w:numPr>
                    <w:jc w:val="both"/>
                  </w:pPr>
                  <w:r>
                    <w:t>wyznaczenie osób odpowiedzialnych za wprowadzenie i realizację polityki banku;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311546E6" w14:textId="77777777" w:rsidR="00E56D4D" w:rsidRPr="0062699A" w:rsidRDefault="004064A0" w:rsidP="00E56D4D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2850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6D4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56D4D">
                    <w:rPr>
                      <w:sz w:val="24"/>
                      <w:szCs w:val="24"/>
                    </w:rPr>
                    <w:t xml:space="preserve"> </w:t>
                  </w:r>
                  <w:r w:rsidR="00E56D4D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184DB50E" w14:textId="77777777" w:rsidR="00E56D4D" w:rsidRPr="0062699A" w:rsidRDefault="004064A0" w:rsidP="00E56D4D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35641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6D4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56D4D">
                    <w:rPr>
                      <w:sz w:val="24"/>
                      <w:szCs w:val="24"/>
                    </w:rPr>
                    <w:t xml:space="preserve"> </w:t>
                  </w:r>
                  <w:r w:rsidR="00E56D4D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E56D4D" w14:paraId="18B0AA50" w14:textId="77777777" w:rsidTr="00B130ED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24934F44" w14:textId="77777777" w:rsidR="00E56D4D" w:rsidRDefault="00E56D4D" w:rsidP="00E56D4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4254A4AB" w14:textId="77777777" w:rsidR="00E56D4D" w:rsidRDefault="00E56D4D" w:rsidP="00E56D4D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443DFA1B" w14:textId="77777777" w:rsidR="00E56D4D" w:rsidRDefault="00E56D4D" w:rsidP="00E56D4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6D4D" w:rsidRPr="0062699A" w14:paraId="04B944B3" w14:textId="77777777" w:rsidTr="00B130ED">
              <w:trPr>
                <w:trHeight w:val="644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1E26EBBF" w14:textId="77777777" w:rsidR="00E56D4D" w:rsidRPr="00E56D4D" w:rsidRDefault="00E56D4D" w:rsidP="00E56D4D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6E9E2F78" w14:textId="060BCB57" w:rsidR="001A0571" w:rsidRDefault="00066024" w:rsidP="001A0571">
                  <w:pPr>
                    <w:jc w:val="both"/>
                  </w:pPr>
                  <w:r>
                    <w:t>w</w:t>
                  </w:r>
                  <w:r w:rsidR="001A0571">
                    <w:t xml:space="preserve"> zakresie zarządzania ryzykiem operacyjnym w bankach:</w:t>
                  </w:r>
                </w:p>
                <w:p w14:paraId="459009B3" w14:textId="77777777" w:rsidR="001A0571" w:rsidRDefault="001A0571" w:rsidP="001A0571">
                  <w:pPr>
                    <w:pStyle w:val="Akapitzlist"/>
                    <w:numPr>
                      <w:ilvl w:val="0"/>
                      <w:numId w:val="38"/>
                    </w:numPr>
                    <w:jc w:val="both"/>
                  </w:pPr>
                  <w:r>
                    <w:t>projektowanie i wdrożenie strategii zarządzania ryzykiem operacyjnym;</w:t>
                  </w:r>
                </w:p>
                <w:p w14:paraId="41D102A7" w14:textId="77777777" w:rsidR="001A0571" w:rsidRDefault="001A0571" w:rsidP="001A0571">
                  <w:pPr>
                    <w:pStyle w:val="Akapitzlist"/>
                    <w:numPr>
                      <w:ilvl w:val="0"/>
                      <w:numId w:val="38"/>
                    </w:numPr>
                    <w:jc w:val="both"/>
                  </w:pPr>
                  <w:r>
                    <w:t>opracowanie i wdrożenie systemu zarządzania ryzykiem operacyjnym oraz zapewnienie jego spójności i sprawne funkcjonowanie ze strategią zarządzania z tym ryzykiem;</w:t>
                  </w:r>
                </w:p>
                <w:p w14:paraId="0A5F865B" w14:textId="77777777" w:rsidR="001A0571" w:rsidRDefault="001A0571" w:rsidP="001A0571">
                  <w:pPr>
                    <w:pStyle w:val="Akapitzlist"/>
                    <w:numPr>
                      <w:ilvl w:val="0"/>
                      <w:numId w:val="38"/>
                    </w:numPr>
                    <w:jc w:val="both"/>
                  </w:pPr>
                  <w:r>
                    <w:t>zapewnienie funkcjonowania reguł kontroli zarządzania ryzykiem operacyjnym;</w:t>
                  </w:r>
                </w:p>
                <w:p w14:paraId="562ECC63" w14:textId="3015FC69" w:rsidR="00E56D4D" w:rsidRPr="00241591" w:rsidRDefault="001A0571" w:rsidP="001A0571">
                  <w:pPr>
                    <w:pStyle w:val="Akapitzlist"/>
                    <w:numPr>
                      <w:ilvl w:val="0"/>
                      <w:numId w:val="38"/>
                    </w:numPr>
                    <w:jc w:val="both"/>
                  </w:pPr>
                  <w:r>
                    <w:t>zapewnienie niezależnego i poprawnego funkcjonowania komórki ds. zarządzania ryzykiem braku zgodności.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5C63CF2D" w14:textId="77777777" w:rsidR="00E56D4D" w:rsidRPr="0062699A" w:rsidRDefault="004064A0" w:rsidP="00E56D4D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99290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6D4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56D4D">
                    <w:rPr>
                      <w:sz w:val="24"/>
                      <w:szCs w:val="24"/>
                    </w:rPr>
                    <w:t xml:space="preserve"> </w:t>
                  </w:r>
                  <w:r w:rsidR="00E56D4D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7C0FC9AF" w14:textId="77777777" w:rsidR="00E56D4D" w:rsidRPr="0062699A" w:rsidRDefault="004064A0" w:rsidP="00E56D4D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17803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56D4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56D4D">
                    <w:rPr>
                      <w:sz w:val="24"/>
                      <w:szCs w:val="24"/>
                    </w:rPr>
                    <w:t xml:space="preserve"> </w:t>
                  </w:r>
                  <w:r w:rsidR="00E56D4D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E56D4D" w14:paraId="7A6DB6B7" w14:textId="77777777" w:rsidTr="00B130ED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528D3FE6" w14:textId="77777777" w:rsidR="00E56D4D" w:rsidRDefault="00E56D4D" w:rsidP="00E56D4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0FD92F3A" w14:textId="77777777" w:rsidR="00E56D4D" w:rsidRDefault="00E56D4D" w:rsidP="00E56D4D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19F5814A" w14:textId="77777777" w:rsidR="00E56D4D" w:rsidRDefault="00E56D4D" w:rsidP="00E56D4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6024" w:rsidRPr="0062699A" w14:paraId="467EC3B5" w14:textId="77777777" w:rsidTr="00B130ED">
              <w:trPr>
                <w:trHeight w:val="644"/>
              </w:trPr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746BBCB9" w14:textId="77777777" w:rsidR="00066024" w:rsidRPr="00E56D4D" w:rsidRDefault="00066024" w:rsidP="00066024">
                  <w:pPr>
                    <w:pStyle w:val="Akapitzlist"/>
                    <w:numPr>
                      <w:ilvl w:val="0"/>
                      <w:numId w:val="18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58" w:type="dxa"/>
                  <w:gridSpan w:val="2"/>
                  <w:shd w:val="clear" w:color="auto" w:fill="E7E6E6" w:themeFill="background2"/>
                </w:tcPr>
                <w:p w14:paraId="32A6787E" w14:textId="388F85D4" w:rsidR="00066024" w:rsidRPr="00241591" w:rsidRDefault="00066024" w:rsidP="00066024">
                  <w:pPr>
                    <w:jc w:val="both"/>
                  </w:pPr>
                  <w:r>
                    <w:t>inne obowiązki, wynikające z podziału kompetencji w ramach zarządu banku</w:t>
                  </w:r>
                </w:p>
              </w:tc>
              <w:tc>
                <w:tcPr>
                  <w:tcW w:w="1702" w:type="dxa"/>
                  <w:shd w:val="clear" w:color="auto" w:fill="FFFFFF" w:themeFill="background1"/>
                  <w:vAlign w:val="center"/>
                </w:tcPr>
                <w:p w14:paraId="376953EA" w14:textId="77777777" w:rsidR="00066024" w:rsidRPr="0062699A" w:rsidRDefault="004064A0" w:rsidP="0006602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58163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602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66024">
                    <w:rPr>
                      <w:sz w:val="24"/>
                      <w:szCs w:val="24"/>
                    </w:rPr>
                    <w:t xml:space="preserve"> </w:t>
                  </w:r>
                  <w:r w:rsidR="00066024" w:rsidRPr="0062699A">
                    <w:rPr>
                      <w:sz w:val="24"/>
                      <w:szCs w:val="24"/>
                    </w:rPr>
                    <w:t>Spełnia</w:t>
                  </w:r>
                </w:p>
                <w:p w14:paraId="5EC4FF30" w14:textId="77777777" w:rsidR="00066024" w:rsidRPr="0062699A" w:rsidRDefault="004064A0" w:rsidP="00066024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6880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602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66024">
                    <w:rPr>
                      <w:sz w:val="24"/>
                      <w:szCs w:val="24"/>
                    </w:rPr>
                    <w:t xml:space="preserve"> </w:t>
                  </w:r>
                  <w:r w:rsidR="00066024" w:rsidRPr="0062699A">
                    <w:rPr>
                      <w:sz w:val="24"/>
                      <w:szCs w:val="24"/>
                    </w:rPr>
                    <w:t>Nie spełnia</w:t>
                  </w:r>
                </w:p>
              </w:tc>
            </w:tr>
            <w:tr w:rsidR="00066024" w14:paraId="21EFC333" w14:textId="77777777" w:rsidTr="00B130ED">
              <w:trPr>
                <w:trHeight w:val="50"/>
              </w:trPr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0826C67B" w14:textId="77777777" w:rsidR="00066024" w:rsidRDefault="00066024" w:rsidP="0006602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shd w:val="clear" w:color="auto" w:fill="E7E6E6" w:themeFill="background2"/>
                </w:tcPr>
                <w:p w14:paraId="52991A59" w14:textId="77777777" w:rsidR="00066024" w:rsidRDefault="00066024" w:rsidP="00066024">
                  <w:pPr>
                    <w:jc w:val="both"/>
                    <w:rPr>
                      <w:sz w:val="24"/>
                      <w:szCs w:val="24"/>
                    </w:rPr>
                  </w:pPr>
                  <w:r w:rsidRPr="0062699A"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7371" w:type="dxa"/>
                  <w:gridSpan w:val="2"/>
                  <w:shd w:val="clear" w:color="auto" w:fill="FFFFFF" w:themeFill="background1"/>
                  <w:vAlign w:val="center"/>
                </w:tcPr>
                <w:p w14:paraId="5694B4FA" w14:textId="77777777" w:rsidR="00066024" w:rsidRDefault="00066024" w:rsidP="0006602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976DAD4" w14:textId="2476D900" w:rsidR="00F624D9" w:rsidRDefault="00F624D9" w:rsidP="00F624D9">
            <w:pPr>
              <w:rPr>
                <w:sz w:val="24"/>
                <w:szCs w:val="24"/>
              </w:rPr>
            </w:pPr>
          </w:p>
          <w:p w14:paraId="7E6F8A6C" w14:textId="77777777" w:rsidR="00066024" w:rsidRDefault="00066024" w:rsidP="00F624D9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AB0886" w:rsidRPr="00A44574" w14:paraId="243D686B" w14:textId="77777777" w:rsidTr="00AB0886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2514A652" w14:textId="77777777" w:rsidR="00AB0886" w:rsidRPr="009E4CFF" w:rsidRDefault="00AB0886" w:rsidP="00F624D9">
                  <w:pPr>
                    <w:pStyle w:val="Akapitzlist"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Podsumowanie oceny przeprowadzonej przez podmiot nadzorowany</w:t>
                  </w:r>
                </w:p>
              </w:tc>
            </w:tr>
            <w:tr w:rsidR="00AB0886" w:rsidRPr="00A44574" w14:paraId="51128E00" w14:textId="77777777" w:rsidTr="004E32B3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62DB8612" w14:textId="0031CC2D" w:rsidR="00AB0886" w:rsidRPr="00BA7E0B" w:rsidRDefault="00AB0886" w:rsidP="00F624D9">
                  <w:pPr>
                    <w:jc w:val="both"/>
                    <w:rPr>
                      <w:sz w:val="24"/>
                      <w:szCs w:val="24"/>
                    </w:rPr>
                  </w:pPr>
                  <w:r w:rsidRPr="00BA7E0B">
                    <w:rPr>
                      <w:sz w:val="24"/>
                      <w:szCs w:val="24"/>
                    </w:rPr>
                    <w:t>Przedstawione w niniejszym formularzu informacje wpływają negatywnie na ocenę jego rękojmi pod kątem odpowiedniości do powołania na stanowisko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1AB33908" w14:textId="48244A7A" w:rsidR="00AB0886" w:rsidRPr="00BA7E0B" w:rsidRDefault="004064A0" w:rsidP="00F624D9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71840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E6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B0886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89FAF3C" w14:textId="77777777" w:rsidR="00AB0886" w:rsidRPr="00BA7E0B" w:rsidRDefault="004064A0" w:rsidP="00F624D9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91686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B0886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AB0886" w:rsidRPr="00A44574" w14:paraId="4C0DBDD2" w14:textId="77777777" w:rsidTr="004E32B3">
              <w:tc>
                <w:tcPr>
                  <w:tcW w:w="3114" w:type="dxa"/>
                  <w:shd w:val="clear" w:color="auto" w:fill="E7E6E6" w:themeFill="background2"/>
                </w:tcPr>
                <w:p w14:paraId="4FDE83D8" w14:textId="2AE9EE7C" w:rsidR="00AB0886" w:rsidRPr="00A44574" w:rsidRDefault="00AB0886" w:rsidP="00F624D9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gridSpan w:val="2"/>
                  <w:shd w:val="clear" w:color="auto" w:fill="FFFFFF" w:themeFill="background1"/>
                </w:tcPr>
                <w:p w14:paraId="2674DA40" w14:textId="77777777" w:rsidR="00AB0886" w:rsidRDefault="00AB0886" w:rsidP="00F624D9">
                  <w:pPr>
                    <w:rPr>
                      <w:sz w:val="24"/>
                      <w:szCs w:val="24"/>
                    </w:rPr>
                  </w:pPr>
                </w:p>
                <w:p w14:paraId="6BE5887D" w14:textId="77777777" w:rsidR="00AB0886" w:rsidRDefault="00AB0886" w:rsidP="00F624D9">
                  <w:pPr>
                    <w:rPr>
                      <w:sz w:val="24"/>
                      <w:szCs w:val="24"/>
                    </w:rPr>
                  </w:pPr>
                </w:p>
                <w:p w14:paraId="5FB208F0" w14:textId="77777777" w:rsidR="00AB0886" w:rsidRPr="00A44574" w:rsidRDefault="00AB0886" w:rsidP="00F624D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A963FF3" w14:textId="77777777" w:rsidR="00AB0886" w:rsidRDefault="00AB0886" w:rsidP="00AB0886"/>
        </w:tc>
      </w:tr>
    </w:tbl>
    <w:p w14:paraId="48732619" w14:textId="77777777" w:rsidR="00AB0886" w:rsidRDefault="00AB0886">
      <w:pPr>
        <w:rPr>
          <w:sz w:val="24"/>
          <w:szCs w:val="24"/>
        </w:rPr>
      </w:pPr>
    </w:p>
    <w:p w14:paraId="5719112D" w14:textId="2A43CE0C" w:rsidR="00C37A49" w:rsidRDefault="00C37A49" w:rsidP="00AB0886">
      <w:pPr>
        <w:rPr>
          <w:sz w:val="24"/>
          <w:szCs w:val="24"/>
        </w:rPr>
      </w:pPr>
    </w:p>
    <w:p w14:paraId="06446918" w14:textId="0BE5006F" w:rsidR="00C37A49" w:rsidRDefault="00C37A49" w:rsidP="00C37A49">
      <w:pPr>
        <w:rPr>
          <w:sz w:val="24"/>
          <w:szCs w:val="24"/>
        </w:rPr>
      </w:pPr>
    </w:p>
    <w:p w14:paraId="6B4E6229" w14:textId="7C67A380" w:rsidR="00EF7617" w:rsidRPr="00C37A49" w:rsidRDefault="00C37A49" w:rsidP="004E32B3">
      <w:pPr>
        <w:tabs>
          <w:tab w:val="left" w:pos="62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F7617" w:rsidRPr="00C37A4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2763" w14:textId="77777777" w:rsidR="000F0BFB" w:rsidRDefault="000F0BFB" w:rsidP="005F5C9E">
      <w:pPr>
        <w:spacing w:after="0" w:line="240" w:lineRule="auto"/>
      </w:pPr>
      <w:r>
        <w:separator/>
      </w:r>
    </w:p>
  </w:endnote>
  <w:endnote w:type="continuationSeparator" w:id="0">
    <w:p w14:paraId="74723563" w14:textId="77777777" w:rsidR="000F0BFB" w:rsidRDefault="000F0BFB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BA51" w14:textId="7DA3CEAD" w:rsidR="00AB0886" w:rsidRDefault="00AB0886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72D8A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272D8A">
            <w:rPr>
              <w:noProof/>
            </w:rPr>
            <w:t>4</w:t>
          </w:r>
        </w:fldSimple>
      </w:sdtContent>
    </w:sdt>
  </w:p>
  <w:p w14:paraId="3F8815F6" w14:textId="77777777" w:rsidR="00AB0886" w:rsidRDefault="00AB0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EA5F" w14:textId="77777777" w:rsidR="000F0BFB" w:rsidRDefault="000F0BFB" w:rsidP="005F5C9E">
      <w:pPr>
        <w:spacing w:after="0" w:line="240" w:lineRule="auto"/>
      </w:pPr>
      <w:r>
        <w:separator/>
      </w:r>
    </w:p>
  </w:footnote>
  <w:footnote w:type="continuationSeparator" w:id="0">
    <w:p w14:paraId="2952C513" w14:textId="77777777" w:rsidR="000F0BFB" w:rsidRDefault="000F0BFB" w:rsidP="005F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4220" w14:textId="77777777" w:rsidR="00AB0886" w:rsidRPr="00D23EF4" w:rsidRDefault="00AB0886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47A41BBB" wp14:editId="0777777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74B4F"/>
    <w:multiLevelType w:val="hybridMultilevel"/>
    <w:tmpl w:val="B0BCBC76"/>
    <w:lvl w:ilvl="0" w:tplc="92E837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C7DD2"/>
    <w:multiLevelType w:val="hybridMultilevel"/>
    <w:tmpl w:val="85603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B4C6B"/>
    <w:multiLevelType w:val="hybridMultilevel"/>
    <w:tmpl w:val="AAE0D6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81F33"/>
    <w:multiLevelType w:val="hybridMultilevel"/>
    <w:tmpl w:val="64B84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F17891"/>
    <w:multiLevelType w:val="hybridMultilevel"/>
    <w:tmpl w:val="B8AAE4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E6637"/>
    <w:multiLevelType w:val="hybridMultilevel"/>
    <w:tmpl w:val="393C30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415214"/>
    <w:multiLevelType w:val="hybridMultilevel"/>
    <w:tmpl w:val="43B280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EF603B"/>
    <w:multiLevelType w:val="hybridMultilevel"/>
    <w:tmpl w:val="E9CE0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C4547"/>
    <w:multiLevelType w:val="hybridMultilevel"/>
    <w:tmpl w:val="64B84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1583A"/>
    <w:multiLevelType w:val="hybridMultilevel"/>
    <w:tmpl w:val="CFD49C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47673"/>
    <w:multiLevelType w:val="hybridMultilevel"/>
    <w:tmpl w:val="C1766B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535EDA"/>
    <w:multiLevelType w:val="hybridMultilevel"/>
    <w:tmpl w:val="1AAA64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FE154F"/>
    <w:multiLevelType w:val="hybridMultilevel"/>
    <w:tmpl w:val="64B84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3E06D7"/>
    <w:multiLevelType w:val="hybridMultilevel"/>
    <w:tmpl w:val="25F8F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8412D3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732A52"/>
    <w:multiLevelType w:val="hybridMultilevel"/>
    <w:tmpl w:val="8D00BA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90451F"/>
    <w:multiLevelType w:val="hybridMultilevel"/>
    <w:tmpl w:val="178A50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5C208E"/>
    <w:multiLevelType w:val="hybridMultilevel"/>
    <w:tmpl w:val="27A68E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E75238"/>
    <w:multiLevelType w:val="hybridMultilevel"/>
    <w:tmpl w:val="D7485F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943145"/>
    <w:multiLevelType w:val="hybridMultilevel"/>
    <w:tmpl w:val="9D4C08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825D3D"/>
    <w:multiLevelType w:val="hybridMultilevel"/>
    <w:tmpl w:val="78A6E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A0640B"/>
    <w:multiLevelType w:val="hybridMultilevel"/>
    <w:tmpl w:val="9C82A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766C38"/>
    <w:multiLevelType w:val="hybridMultilevel"/>
    <w:tmpl w:val="E5F81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C40BB2"/>
    <w:multiLevelType w:val="hybridMultilevel"/>
    <w:tmpl w:val="A9AE0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877D30"/>
    <w:multiLevelType w:val="hybridMultilevel"/>
    <w:tmpl w:val="E90C3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C81B78"/>
    <w:multiLevelType w:val="hybridMultilevel"/>
    <w:tmpl w:val="D07CA6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3621D9"/>
    <w:multiLevelType w:val="hybridMultilevel"/>
    <w:tmpl w:val="61B00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B92517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8754329">
    <w:abstractNumId w:val="1"/>
  </w:num>
  <w:num w:numId="2" w16cid:durableId="1842233626">
    <w:abstractNumId w:val="37"/>
  </w:num>
  <w:num w:numId="3" w16cid:durableId="420221201">
    <w:abstractNumId w:val="9"/>
  </w:num>
  <w:num w:numId="4" w16cid:durableId="954026138">
    <w:abstractNumId w:val="25"/>
  </w:num>
  <w:num w:numId="5" w16cid:durableId="878131994">
    <w:abstractNumId w:val="21"/>
  </w:num>
  <w:num w:numId="6" w16cid:durableId="761225200">
    <w:abstractNumId w:val="15"/>
  </w:num>
  <w:num w:numId="7" w16cid:durableId="12150089">
    <w:abstractNumId w:val="6"/>
  </w:num>
  <w:num w:numId="8" w16cid:durableId="768156264">
    <w:abstractNumId w:val="7"/>
  </w:num>
  <w:num w:numId="9" w16cid:durableId="607851296">
    <w:abstractNumId w:val="22"/>
  </w:num>
  <w:num w:numId="10" w16cid:durableId="1871643891">
    <w:abstractNumId w:val="20"/>
  </w:num>
  <w:num w:numId="11" w16cid:durableId="1734888033">
    <w:abstractNumId w:val="0"/>
  </w:num>
  <w:num w:numId="12" w16cid:durableId="928732697">
    <w:abstractNumId w:val="36"/>
  </w:num>
  <w:num w:numId="13" w16cid:durableId="1198467299">
    <w:abstractNumId w:val="19"/>
  </w:num>
  <w:num w:numId="14" w16cid:durableId="1112896132">
    <w:abstractNumId w:val="35"/>
  </w:num>
  <w:num w:numId="15" w16cid:durableId="527649162">
    <w:abstractNumId w:val="34"/>
  </w:num>
  <w:num w:numId="16" w16cid:durableId="1440759753">
    <w:abstractNumId w:val="10"/>
  </w:num>
  <w:num w:numId="17" w16cid:durableId="763497230">
    <w:abstractNumId w:val="26"/>
  </w:num>
  <w:num w:numId="18" w16cid:durableId="644092653">
    <w:abstractNumId w:val="12"/>
  </w:num>
  <w:num w:numId="19" w16cid:durableId="1966500250">
    <w:abstractNumId w:val="2"/>
  </w:num>
  <w:num w:numId="20" w16cid:durableId="964391616">
    <w:abstractNumId w:val="8"/>
  </w:num>
  <w:num w:numId="21" w16cid:durableId="1696223235">
    <w:abstractNumId w:val="24"/>
  </w:num>
  <w:num w:numId="22" w16cid:durableId="656614206">
    <w:abstractNumId w:val="14"/>
  </w:num>
  <w:num w:numId="23" w16cid:durableId="703869288">
    <w:abstractNumId w:val="31"/>
  </w:num>
  <w:num w:numId="24" w16cid:durableId="1396394">
    <w:abstractNumId w:val="28"/>
  </w:num>
  <w:num w:numId="25" w16cid:durableId="203833384">
    <w:abstractNumId w:val="4"/>
  </w:num>
  <w:num w:numId="26" w16cid:durableId="2005545774">
    <w:abstractNumId w:val="3"/>
  </w:num>
  <w:num w:numId="27" w16cid:durableId="1216624190">
    <w:abstractNumId w:val="17"/>
  </w:num>
  <w:num w:numId="28" w16cid:durableId="409012586">
    <w:abstractNumId w:val="5"/>
  </w:num>
  <w:num w:numId="29" w16cid:durableId="824971339">
    <w:abstractNumId w:val="18"/>
  </w:num>
  <w:num w:numId="30" w16cid:durableId="815610233">
    <w:abstractNumId w:val="13"/>
  </w:num>
  <w:num w:numId="31" w16cid:durableId="1444958530">
    <w:abstractNumId w:val="29"/>
  </w:num>
  <w:num w:numId="32" w16cid:durableId="1798257167">
    <w:abstractNumId w:val="30"/>
  </w:num>
  <w:num w:numId="33" w16cid:durableId="1099988424">
    <w:abstractNumId w:val="16"/>
  </w:num>
  <w:num w:numId="34" w16cid:durableId="27266549">
    <w:abstractNumId w:val="33"/>
  </w:num>
  <w:num w:numId="35" w16cid:durableId="1980958973">
    <w:abstractNumId w:val="23"/>
  </w:num>
  <w:num w:numId="36" w16cid:durableId="317151116">
    <w:abstractNumId w:val="11"/>
  </w:num>
  <w:num w:numId="37" w16cid:durableId="639113827">
    <w:abstractNumId w:val="32"/>
  </w:num>
  <w:num w:numId="38" w16cid:durableId="17380921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0056C"/>
    <w:rsid w:val="0001048D"/>
    <w:rsid w:val="00012625"/>
    <w:rsid w:val="0001484D"/>
    <w:rsid w:val="00026B4D"/>
    <w:rsid w:val="00033115"/>
    <w:rsid w:val="0003612D"/>
    <w:rsid w:val="00040E60"/>
    <w:rsid w:val="000416A9"/>
    <w:rsid w:val="000427BA"/>
    <w:rsid w:val="0005387B"/>
    <w:rsid w:val="00061217"/>
    <w:rsid w:val="00066024"/>
    <w:rsid w:val="000826F8"/>
    <w:rsid w:val="000A6351"/>
    <w:rsid w:val="000C564B"/>
    <w:rsid w:val="000E3014"/>
    <w:rsid w:val="000F0BFB"/>
    <w:rsid w:val="000F7239"/>
    <w:rsid w:val="001100CE"/>
    <w:rsid w:val="00116F54"/>
    <w:rsid w:val="0014308C"/>
    <w:rsid w:val="00147206"/>
    <w:rsid w:val="001507C3"/>
    <w:rsid w:val="00160357"/>
    <w:rsid w:val="001754FC"/>
    <w:rsid w:val="001925C2"/>
    <w:rsid w:val="001A0571"/>
    <w:rsid w:val="001D08B4"/>
    <w:rsid w:val="001E7E34"/>
    <w:rsid w:val="001F29A2"/>
    <w:rsid w:val="0020757C"/>
    <w:rsid w:val="00214014"/>
    <w:rsid w:val="002227E8"/>
    <w:rsid w:val="00231BC8"/>
    <w:rsid w:val="00231CFD"/>
    <w:rsid w:val="00241591"/>
    <w:rsid w:val="00242472"/>
    <w:rsid w:val="002609F9"/>
    <w:rsid w:val="00272D8A"/>
    <w:rsid w:val="00275C19"/>
    <w:rsid w:val="00293325"/>
    <w:rsid w:val="002B06D3"/>
    <w:rsid w:val="002B1670"/>
    <w:rsid w:val="002C7E12"/>
    <w:rsid w:val="002D6CF1"/>
    <w:rsid w:val="002E1184"/>
    <w:rsid w:val="00306A42"/>
    <w:rsid w:val="003137B9"/>
    <w:rsid w:val="00330621"/>
    <w:rsid w:val="00332846"/>
    <w:rsid w:val="00343908"/>
    <w:rsid w:val="00347720"/>
    <w:rsid w:val="00351E8B"/>
    <w:rsid w:val="0035372F"/>
    <w:rsid w:val="0036083D"/>
    <w:rsid w:val="003740B5"/>
    <w:rsid w:val="00381F8C"/>
    <w:rsid w:val="003879BD"/>
    <w:rsid w:val="003B0419"/>
    <w:rsid w:val="003B7C56"/>
    <w:rsid w:val="003C58CB"/>
    <w:rsid w:val="003F2F0A"/>
    <w:rsid w:val="00403CF9"/>
    <w:rsid w:val="004064A0"/>
    <w:rsid w:val="00431500"/>
    <w:rsid w:val="00434466"/>
    <w:rsid w:val="00470521"/>
    <w:rsid w:val="004722A4"/>
    <w:rsid w:val="00475AE4"/>
    <w:rsid w:val="00480855"/>
    <w:rsid w:val="00493D12"/>
    <w:rsid w:val="004D37E5"/>
    <w:rsid w:val="004E32B3"/>
    <w:rsid w:val="0050239E"/>
    <w:rsid w:val="00514F60"/>
    <w:rsid w:val="00537947"/>
    <w:rsid w:val="00544099"/>
    <w:rsid w:val="005537BF"/>
    <w:rsid w:val="00571962"/>
    <w:rsid w:val="005A297A"/>
    <w:rsid w:val="005A4BB8"/>
    <w:rsid w:val="005B707D"/>
    <w:rsid w:val="005B7368"/>
    <w:rsid w:val="005C0900"/>
    <w:rsid w:val="005E2D14"/>
    <w:rsid w:val="005F5C9E"/>
    <w:rsid w:val="006038E2"/>
    <w:rsid w:val="00607044"/>
    <w:rsid w:val="0061749D"/>
    <w:rsid w:val="00617E05"/>
    <w:rsid w:val="0062699A"/>
    <w:rsid w:val="006435C7"/>
    <w:rsid w:val="00651293"/>
    <w:rsid w:val="00651D58"/>
    <w:rsid w:val="0066206D"/>
    <w:rsid w:val="00671565"/>
    <w:rsid w:val="0069146D"/>
    <w:rsid w:val="006C220B"/>
    <w:rsid w:val="006C6758"/>
    <w:rsid w:val="006D1A18"/>
    <w:rsid w:val="006D5ECE"/>
    <w:rsid w:val="0071026E"/>
    <w:rsid w:val="00710D76"/>
    <w:rsid w:val="00711879"/>
    <w:rsid w:val="00721A11"/>
    <w:rsid w:val="00743258"/>
    <w:rsid w:val="00743BCF"/>
    <w:rsid w:val="00751A6D"/>
    <w:rsid w:val="007557CC"/>
    <w:rsid w:val="00770F7F"/>
    <w:rsid w:val="0077149B"/>
    <w:rsid w:val="007746EC"/>
    <w:rsid w:val="007C4760"/>
    <w:rsid w:val="007C71AE"/>
    <w:rsid w:val="007D2A59"/>
    <w:rsid w:val="007D4020"/>
    <w:rsid w:val="007E462A"/>
    <w:rsid w:val="007F4E62"/>
    <w:rsid w:val="00801C67"/>
    <w:rsid w:val="00801E4C"/>
    <w:rsid w:val="00813D75"/>
    <w:rsid w:val="0082242F"/>
    <w:rsid w:val="0084513B"/>
    <w:rsid w:val="00846481"/>
    <w:rsid w:val="00846E45"/>
    <w:rsid w:val="008516C5"/>
    <w:rsid w:val="008546B7"/>
    <w:rsid w:val="00867EFF"/>
    <w:rsid w:val="0087666A"/>
    <w:rsid w:val="00880D4D"/>
    <w:rsid w:val="008B6720"/>
    <w:rsid w:val="008B7A5A"/>
    <w:rsid w:val="008D4F57"/>
    <w:rsid w:val="008E270F"/>
    <w:rsid w:val="00904F58"/>
    <w:rsid w:val="009170A1"/>
    <w:rsid w:val="00927D91"/>
    <w:rsid w:val="00936468"/>
    <w:rsid w:val="00975B07"/>
    <w:rsid w:val="0098357A"/>
    <w:rsid w:val="0098519E"/>
    <w:rsid w:val="009A1051"/>
    <w:rsid w:val="009A1982"/>
    <w:rsid w:val="009B221C"/>
    <w:rsid w:val="009B5E8E"/>
    <w:rsid w:val="009E2DF7"/>
    <w:rsid w:val="009E3146"/>
    <w:rsid w:val="009E4CFF"/>
    <w:rsid w:val="009E6163"/>
    <w:rsid w:val="00A078F0"/>
    <w:rsid w:val="00A10C6C"/>
    <w:rsid w:val="00A14D50"/>
    <w:rsid w:val="00A16511"/>
    <w:rsid w:val="00A2007F"/>
    <w:rsid w:val="00A44574"/>
    <w:rsid w:val="00A666FC"/>
    <w:rsid w:val="00AA1BC6"/>
    <w:rsid w:val="00AA5845"/>
    <w:rsid w:val="00AB0886"/>
    <w:rsid w:val="00AB6C9C"/>
    <w:rsid w:val="00AB7FD2"/>
    <w:rsid w:val="00AD5FFF"/>
    <w:rsid w:val="00AD687A"/>
    <w:rsid w:val="00AE2AD2"/>
    <w:rsid w:val="00AF456D"/>
    <w:rsid w:val="00B13AC4"/>
    <w:rsid w:val="00B14BD8"/>
    <w:rsid w:val="00B160CA"/>
    <w:rsid w:val="00B37FDD"/>
    <w:rsid w:val="00B835AD"/>
    <w:rsid w:val="00B848F8"/>
    <w:rsid w:val="00B9035D"/>
    <w:rsid w:val="00B961D0"/>
    <w:rsid w:val="00BA7E0B"/>
    <w:rsid w:val="00BB1CC9"/>
    <w:rsid w:val="00BB619B"/>
    <w:rsid w:val="00BD0A08"/>
    <w:rsid w:val="00BD1B64"/>
    <w:rsid w:val="00BD2DCF"/>
    <w:rsid w:val="00BE2763"/>
    <w:rsid w:val="00BE4F8F"/>
    <w:rsid w:val="00C0587B"/>
    <w:rsid w:val="00C12C6A"/>
    <w:rsid w:val="00C27BFE"/>
    <w:rsid w:val="00C3360A"/>
    <w:rsid w:val="00C37A49"/>
    <w:rsid w:val="00C4374F"/>
    <w:rsid w:val="00C45BBD"/>
    <w:rsid w:val="00C84F68"/>
    <w:rsid w:val="00CA2022"/>
    <w:rsid w:val="00CB0441"/>
    <w:rsid w:val="00CB3341"/>
    <w:rsid w:val="00CC73BD"/>
    <w:rsid w:val="00CE5642"/>
    <w:rsid w:val="00CE77BB"/>
    <w:rsid w:val="00D059D5"/>
    <w:rsid w:val="00D15FBB"/>
    <w:rsid w:val="00D20184"/>
    <w:rsid w:val="00D22011"/>
    <w:rsid w:val="00D23EF4"/>
    <w:rsid w:val="00D340D2"/>
    <w:rsid w:val="00D40E89"/>
    <w:rsid w:val="00D501BA"/>
    <w:rsid w:val="00D66DEA"/>
    <w:rsid w:val="00D70AC3"/>
    <w:rsid w:val="00D80D16"/>
    <w:rsid w:val="00D93616"/>
    <w:rsid w:val="00DC27ED"/>
    <w:rsid w:val="00DD0124"/>
    <w:rsid w:val="00DD0791"/>
    <w:rsid w:val="00E0194F"/>
    <w:rsid w:val="00E07BB3"/>
    <w:rsid w:val="00E171F3"/>
    <w:rsid w:val="00E34208"/>
    <w:rsid w:val="00E51C04"/>
    <w:rsid w:val="00E54536"/>
    <w:rsid w:val="00E56D4D"/>
    <w:rsid w:val="00E60BF5"/>
    <w:rsid w:val="00E65FE9"/>
    <w:rsid w:val="00E66682"/>
    <w:rsid w:val="00E80C50"/>
    <w:rsid w:val="00E83D32"/>
    <w:rsid w:val="00EA0102"/>
    <w:rsid w:val="00EA69A3"/>
    <w:rsid w:val="00EB683C"/>
    <w:rsid w:val="00EB6CB7"/>
    <w:rsid w:val="00EC2888"/>
    <w:rsid w:val="00ED6128"/>
    <w:rsid w:val="00EE1528"/>
    <w:rsid w:val="00EF7617"/>
    <w:rsid w:val="00F02E94"/>
    <w:rsid w:val="00F12C21"/>
    <w:rsid w:val="00F22C3E"/>
    <w:rsid w:val="00F22DD0"/>
    <w:rsid w:val="00F30C41"/>
    <w:rsid w:val="00F32B6A"/>
    <w:rsid w:val="00F40A52"/>
    <w:rsid w:val="00F45B6D"/>
    <w:rsid w:val="00F6007F"/>
    <w:rsid w:val="00F624D9"/>
    <w:rsid w:val="00F63244"/>
    <w:rsid w:val="00F679F1"/>
    <w:rsid w:val="00F72FDE"/>
    <w:rsid w:val="00F809E1"/>
    <w:rsid w:val="00F83C04"/>
    <w:rsid w:val="00F8546C"/>
    <w:rsid w:val="00F876F8"/>
    <w:rsid w:val="00FA02C7"/>
    <w:rsid w:val="00FA20B1"/>
    <w:rsid w:val="00FA3434"/>
    <w:rsid w:val="00FD5BB1"/>
    <w:rsid w:val="00FE424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56627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7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0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0D2"/>
    <w:rPr>
      <w:vertAlign w:val="superscript"/>
    </w:rPr>
  </w:style>
  <w:style w:type="paragraph" w:styleId="Poprawka">
    <w:name w:val="Revision"/>
    <w:hidden/>
    <w:uiPriority w:val="99"/>
    <w:semiHidden/>
    <w:rsid w:val="00C37A49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76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4A0BB1-53E0-4E96-AF86-64D96AE53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A8155-8FB9-452E-9E1C-0854DAA4EA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806D74-7AB6-4747-B15D-CE00B0CDB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752A00-6E46-41D0-A9DF-EB0F2C0CF5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Joanna Olejarczuk</cp:lastModifiedBy>
  <cp:revision>2</cp:revision>
  <cp:lastPrinted>2019-10-29T08:20:00Z</cp:lastPrinted>
  <dcterms:created xsi:type="dcterms:W3CDTF">2024-08-26T20:38:00Z</dcterms:created>
  <dcterms:modified xsi:type="dcterms:W3CDTF">2024-08-26T20:38:00Z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